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0EE6" w14:textId="77777777" w:rsidR="00F74E6A" w:rsidRDefault="00000000">
      <w:pPr>
        <w:pStyle w:val="1"/>
        <w:ind w:firstLine="0"/>
        <w:jc w:val="center"/>
      </w:pPr>
      <w:r>
        <w:rPr>
          <w:b/>
          <w:bCs/>
        </w:rPr>
        <w:t>Доклад о результатах мониторинга качества финансового менеджмента</w:t>
      </w:r>
      <w:r>
        <w:rPr>
          <w:b/>
          <w:bCs/>
        </w:rPr>
        <w:br/>
        <w:t>главных распорядителей средств бюджета</w:t>
      </w:r>
    </w:p>
    <w:p w14:paraId="76E257F5" w14:textId="214DF9ED" w:rsidR="00F74E6A" w:rsidRDefault="00747331">
      <w:pPr>
        <w:pStyle w:val="1"/>
        <w:ind w:firstLine="0"/>
        <w:jc w:val="center"/>
      </w:pPr>
      <w:r>
        <w:rPr>
          <w:b/>
          <w:bCs/>
        </w:rPr>
        <w:t>Копорское</w:t>
      </w:r>
      <w:r w:rsidR="00000000">
        <w:rPr>
          <w:b/>
          <w:bCs/>
        </w:rPr>
        <w:t xml:space="preserve"> сельское поселение Ломоносовского района</w:t>
      </w:r>
      <w:r w:rsidR="00000000">
        <w:rPr>
          <w:b/>
          <w:bCs/>
        </w:rPr>
        <w:br/>
        <w:t>Ленинградской области</w:t>
      </w:r>
    </w:p>
    <w:p w14:paraId="64553A01" w14:textId="032440E1" w:rsidR="00F74E6A" w:rsidRDefault="00000000">
      <w:pPr>
        <w:pStyle w:val="1"/>
        <w:ind w:firstLine="600"/>
        <w:jc w:val="both"/>
      </w:pPr>
      <w:r>
        <w:t xml:space="preserve">Администрацией муниципального образования </w:t>
      </w:r>
      <w:r w:rsidR="00747331">
        <w:t>Копорское</w:t>
      </w:r>
      <w:r>
        <w:t xml:space="preserve"> сельское поселение  Ломоносовск</w:t>
      </w:r>
      <w:r w:rsidR="00747331">
        <w:t>ого</w:t>
      </w:r>
      <w:r>
        <w:t xml:space="preserve"> район Ленинградской области в соответствии со статьей 160.2-1 Бюджетного кодекса Российской Федерации и постановлением главы администрации муниципального образования </w:t>
      </w:r>
      <w:r w:rsidR="00747331">
        <w:t>Копорское</w:t>
      </w:r>
      <w:r>
        <w:t xml:space="preserve"> сельское поселение </w:t>
      </w:r>
      <w:r w:rsidR="00747331">
        <w:t>Л</w:t>
      </w:r>
      <w:r>
        <w:t>омоносовск</w:t>
      </w:r>
      <w:r w:rsidR="00747331">
        <w:t>ого</w:t>
      </w:r>
      <w:r>
        <w:t xml:space="preserve"> район</w:t>
      </w:r>
      <w:r w:rsidR="009C61D8">
        <w:t>а</w:t>
      </w:r>
      <w:r>
        <w:t xml:space="preserve"> Ленинградской области от </w:t>
      </w:r>
      <w:r w:rsidR="009C61D8">
        <w:t>13</w:t>
      </w:r>
      <w:r>
        <w:t xml:space="preserve"> </w:t>
      </w:r>
      <w:r w:rsidR="009C61D8">
        <w:t>июля</w:t>
      </w:r>
      <w:r>
        <w:t xml:space="preserve"> 2022 года № </w:t>
      </w:r>
      <w:r w:rsidR="009C61D8">
        <w:t>29/1</w:t>
      </w:r>
      <w:r>
        <w:t xml:space="preserve"> «Об утверждении порядка </w:t>
      </w:r>
      <w:r w:rsidR="009C61D8">
        <w:t>пр</w:t>
      </w:r>
      <w:r>
        <w:t xml:space="preserve">оведения оценки качества финансового менеджмента бюджета муниципального образования </w:t>
      </w:r>
      <w:r w:rsidR="009C61D8">
        <w:t>Копорское</w:t>
      </w:r>
      <w:r>
        <w:t xml:space="preserve"> сельское поселение  Ломоносовск</w:t>
      </w:r>
      <w:r w:rsidR="009C61D8">
        <w:t>ого</w:t>
      </w:r>
      <w:r>
        <w:t xml:space="preserve"> район</w:t>
      </w:r>
      <w:r w:rsidR="009C61D8">
        <w:t>а</w:t>
      </w:r>
      <w:r>
        <w:t xml:space="preserve"> Ленинградской области» проведен мониторинг качества финансового менеджмента двух главных распорядителей средств бюджета </w:t>
      </w:r>
      <w:r w:rsidR="009C61D8">
        <w:t>Копорское</w:t>
      </w:r>
      <w:r>
        <w:t xml:space="preserve"> сельское поселение Ломоносовского  района Ленинградской области (далее - ГРБС) за 202</w:t>
      </w:r>
      <w:r w:rsidR="009C61D8">
        <w:t>4</w:t>
      </w:r>
      <w:r>
        <w:t xml:space="preserve"> год.</w:t>
      </w:r>
    </w:p>
    <w:p w14:paraId="349F16B3" w14:textId="77777777" w:rsidR="00F74E6A" w:rsidRDefault="00000000">
      <w:pPr>
        <w:pStyle w:val="1"/>
        <w:ind w:firstLine="600"/>
        <w:jc w:val="both"/>
      </w:pPr>
      <w:r>
        <w:t xml:space="preserve">По итогам проведенного мониторинга ГРБС была присвоена </w:t>
      </w:r>
      <w:r>
        <w:rPr>
          <w:lang w:val="en-US" w:eastAsia="en-US" w:bidi="en-US"/>
        </w:rPr>
        <w:t>II</w:t>
      </w:r>
      <w:r w:rsidRPr="00747331">
        <w:rPr>
          <w:lang w:eastAsia="en-US" w:bidi="en-US"/>
        </w:rPr>
        <w:t xml:space="preserve"> </w:t>
      </w:r>
      <w:r>
        <w:t>степень качества финансового менеджмента (таблица 1).</w:t>
      </w:r>
    </w:p>
    <w:p w14:paraId="56369ECD" w14:textId="577386B5" w:rsidR="00F74E6A" w:rsidRDefault="00000000">
      <w:pPr>
        <w:pStyle w:val="1"/>
        <w:spacing w:after="380"/>
        <w:ind w:firstLine="600"/>
        <w:jc w:val="both"/>
      </w:pPr>
      <w:r>
        <w:t>По сравнению с предыдущим годом степень качества финансового менеджмента у данного ГРБС  изменилась.</w:t>
      </w:r>
    </w:p>
    <w:p w14:paraId="08770D25" w14:textId="77777777" w:rsidR="00F74E6A" w:rsidRDefault="00000000">
      <w:pPr>
        <w:pStyle w:val="a5"/>
        <w:tabs>
          <w:tab w:val="left" w:leader="underscore" w:pos="10162"/>
        </w:tabs>
        <w:ind w:left="43" w:firstLine="0"/>
      </w:pPr>
      <w:r>
        <w:t xml:space="preserve">Таблица 1. Перечень ГРБС, которым присвоена </w:t>
      </w:r>
      <w:r>
        <w:rPr>
          <w:lang w:val="en-US" w:eastAsia="en-US" w:bidi="en-US"/>
        </w:rPr>
        <w:t>II</w:t>
      </w:r>
      <w:r w:rsidRPr="00747331">
        <w:rPr>
          <w:lang w:eastAsia="en-US" w:bidi="en-US"/>
        </w:rPr>
        <w:t xml:space="preserve"> </w:t>
      </w:r>
      <w:r>
        <w:t xml:space="preserve">степень качества </w:t>
      </w:r>
      <w:r>
        <w:rPr>
          <w:u w:val="single"/>
        </w:rPr>
        <w:t>финансового менеджмента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9360"/>
      </w:tblGrid>
      <w:tr w:rsidR="00F74E6A" w14:paraId="714DAD87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002C8" w14:textId="77777777" w:rsidR="00F74E6A" w:rsidRDefault="0000000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914A" w14:textId="77777777" w:rsidR="00F74E6A" w:rsidRDefault="0000000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</w:tr>
      <w:tr w:rsidR="00F74E6A" w14:paraId="134DD2DF" w14:textId="7777777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71897" w14:textId="77777777" w:rsidR="00F74E6A" w:rsidRDefault="00000000">
            <w:pPr>
              <w:pStyle w:val="a7"/>
              <w:spacing w:before="160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3F22" w14:textId="42A38051" w:rsidR="00F74E6A" w:rsidRDefault="00000000">
            <w:pPr>
              <w:pStyle w:val="a7"/>
              <w:ind w:firstLine="0"/>
            </w:pPr>
            <w:r>
              <w:t xml:space="preserve">Администрация муниципального образования </w:t>
            </w:r>
            <w:r w:rsidR="009C61D8">
              <w:t>Копорское</w:t>
            </w:r>
            <w:r>
              <w:t xml:space="preserve"> сельское поселение  Ломоносовск</w:t>
            </w:r>
            <w:r w:rsidR="009C61D8">
              <w:t>ого</w:t>
            </w:r>
            <w:r>
              <w:t xml:space="preserve"> район</w:t>
            </w:r>
            <w:r w:rsidR="009C61D8">
              <w:t>а</w:t>
            </w:r>
            <w:r>
              <w:t xml:space="preserve"> Ленинградской области</w:t>
            </w:r>
          </w:p>
        </w:tc>
      </w:tr>
      <w:tr w:rsidR="00F74E6A" w14:paraId="2265F746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F6E7C" w14:textId="77777777" w:rsidR="00F74E6A" w:rsidRDefault="00000000">
            <w:pPr>
              <w:pStyle w:val="a7"/>
              <w:spacing w:before="100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4ABD" w14:textId="4ED45296" w:rsidR="00F74E6A" w:rsidRDefault="00000000">
            <w:pPr>
              <w:pStyle w:val="a7"/>
              <w:ind w:firstLine="0"/>
            </w:pPr>
            <w:r>
              <w:t xml:space="preserve">Совет депутатов </w:t>
            </w:r>
            <w:r w:rsidR="009C61D8">
              <w:t>Копорского</w:t>
            </w:r>
            <w:r>
              <w:t xml:space="preserve"> сельского поселения Ломоносовского </w:t>
            </w:r>
            <w:r w:rsidR="009C61D8">
              <w:t>р</w:t>
            </w:r>
            <w:r>
              <w:t>айона Ленинградской области</w:t>
            </w:r>
          </w:p>
        </w:tc>
      </w:tr>
    </w:tbl>
    <w:p w14:paraId="3CCBFE43" w14:textId="77777777" w:rsidR="00F74E6A" w:rsidRDefault="00F74E6A">
      <w:pPr>
        <w:spacing w:after="259" w:line="1" w:lineRule="exact"/>
      </w:pPr>
    </w:p>
    <w:p w14:paraId="78E63544" w14:textId="077850A2" w:rsidR="00F74E6A" w:rsidRDefault="00000000">
      <w:pPr>
        <w:pStyle w:val="1"/>
        <w:spacing w:after="320"/>
        <w:ind w:firstLine="780"/>
        <w:jc w:val="both"/>
      </w:pPr>
      <w:r>
        <w:t xml:space="preserve">Другие ГРБС бюджета </w:t>
      </w:r>
      <w:r w:rsidR="009C61D8">
        <w:t>Копорское</w:t>
      </w:r>
      <w:r>
        <w:t xml:space="preserve"> сельское поселение Ломоносовского  района Ленинградской области отсутствуют.</w:t>
      </w:r>
    </w:p>
    <w:p w14:paraId="3296653E" w14:textId="77777777" w:rsidR="00F74E6A" w:rsidRDefault="00000000">
      <w:pPr>
        <w:pStyle w:val="a5"/>
        <w:ind w:firstLine="0"/>
        <w:jc w:val="center"/>
      </w:pPr>
      <w:r>
        <w:t>Таблица 2. Итоговая оценка качества финансового менеджмента ГРБС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392"/>
        <w:gridCol w:w="1699"/>
        <w:gridCol w:w="1699"/>
        <w:gridCol w:w="1714"/>
      </w:tblGrid>
      <w:tr w:rsidR="00F74E6A" w14:paraId="0C66182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6D8F5" w14:textId="77777777" w:rsidR="00F74E6A" w:rsidRDefault="00000000">
            <w:pPr>
              <w:pStyle w:val="a7"/>
              <w:spacing w:before="12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E1C40" w14:textId="77777777" w:rsidR="00F74E6A" w:rsidRDefault="00000000">
            <w:pPr>
              <w:pStyle w:val="a7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96A5" w14:textId="77777777" w:rsidR="00F74E6A" w:rsidRDefault="0000000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Присвоенная степень качества</w:t>
            </w:r>
          </w:p>
        </w:tc>
      </w:tr>
      <w:tr w:rsidR="00F74E6A" w14:paraId="4B0911E8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B94C56" w14:textId="77777777" w:rsidR="00F74E6A" w:rsidRDefault="00F74E6A"/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B2539D" w14:textId="77777777" w:rsidR="00F74E6A" w:rsidRDefault="00F74E6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E75BD" w14:textId="77777777" w:rsidR="00F74E6A" w:rsidRDefault="00000000">
            <w:pPr>
              <w:pStyle w:val="a7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7CD58" w14:textId="77777777" w:rsidR="00F74E6A" w:rsidRDefault="0000000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8236" w14:textId="77777777" w:rsidR="00F74E6A" w:rsidRDefault="0000000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за год</w:t>
            </w:r>
          </w:p>
        </w:tc>
      </w:tr>
      <w:tr w:rsidR="00F74E6A" w14:paraId="502C6200" w14:textId="77777777">
        <w:tblPrEx>
          <w:tblCellMar>
            <w:top w:w="0" w:type="dxa"/>
            <w:bottom w:w="0" w:type="dxa"/>
          </w:tblCellMar>
        </w:tblPrEx>
        <w:trPr>
          <w:trHeight w:hRule="exact" w:val="2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0C547" w14:textId="77777777" w:rsidR="00F74E6A" w:rsidRDefault="00000000">
            <w:pPr>
              <w:pStyle w:val="a7"/>
              <w:spacing w:before="1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D0005" w14:textId="07ED0AE6" w:rsidR="00F74E6A" w:rsidRDefault="00000000">
            <w:pPr>
              <w:pStyle w:val="a7"/>
              <w:ind w:firstLine="0"/>
              <w:jc w:val="both"/>
            </w:pPr>
            <w:r>
              <w:t xml:space="preserve">Администрация муниципального образования </w:t>
            </w:r>
            <w:r w:rsidR="009C61D8">
              <w:t>Копорское</w:t>
            </w:r>
            <w:r>
              <w:t xml:space="preserve"> сельское поселение Ломоносовск</w:t>
            </w:r>
            <w:r w:rsidR="009C61D8">
              <w:t>ого</w:t>
            </w:r>
            <w:r>
              <w:t xml:space="preserve"> район</w:t>
            </w:r>
            <w:r w:rsidR="009C61D8">
              <w:t>а</w:t>
            </w:r>
            <w:r>
              <w:t xml:space="preserve"> Ленинградской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6A7BE" w14:textId="77777777" w:rsidR="00F74E6A" w:rsidRDefault="00000000">
            <w:pPr>
              <w:pStyle w:val="a7"/>
              <w:spacing w:before="100"/>
              <w:ind w:firstLine="0"/>
              <w:jc w:val="center"/>
            </w:pPr>
            <w:r>
              <w:t>II степень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DFB63" w14:textId="5D17727F" w:rsidR="00F74E6A" w:rsidRDefault="009C61D8">
            <w:pPr>
              <w:pStyle w:val="a7"/>
              <w:spacing w:before="100"/>
              <w:ind w:firstLine="0"/>
              <w:jc w:val="center"/>
            </w:pPr>
            <w:r>
              <w:rPr>
                <w:lang w:val="en-US"/>
              </w:rPr>
              <w:t xml:space="preserve">I </w:t>
            </w:r>
            <w:r w:rsidR="00000000">
              <w:t>степень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FD39" w14:textId="52F966AD" w:rsidR="00F74E6A" w:rsidRPr="009C61D8" w:rsidRDefault="009C61D8">
            <w:pPr>
              <w:pStyle w:val="a7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</w:p>
        </w:tc>
      </w:tr>
      <w:tr w:rsidR="00F74E6A" w14:paraId="1A055C17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88239" w14:textId="77777777" w:rsidR="00F74E6A" w:rsidRDefault="00000000">
            <w:pPr>
              <w:pStyle w:val="a7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8B7F3" w14:textId="6E3BD69D" w:rsidR="00F74E6A" w:rsidRDefault="00000000">
            <w:pPr>
              <w:pStyle w:val="a7"/>
              <w:ind w:firstLine="0"/>
              <w:jc w:val="both"/>
            </w:pPr>
            <w:r>
              <w:t xml:space="preserve">Совет депутатов </w:t>
            </w:r>
            <w:r w:rsidR="009C61D8">
              <w:t>Копорского</w:t>
            </w:r>
            <w:r>
              <w:t xml:space="preserve"> сельского поселения Ломоносовского  района Ленинградской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5A6B2" w14:textId="77777777" w:rsidR="00F74E6A" w:rsidRDefault="00000000">
            <w:pPr>
              <w:pStyle w:val="a7"/>
              <w:spacing w:before="100"/>
              <w:ind w:firstLine="0"/>
              <w:jc w:val="center"/>
            </w:pPr>
            <w:r>
              <w:t>II степень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89DBC" w14:textId="0E01AB13" w:rsidR="00F74E6A" w:rsidRDefault="00000000">
            <w:pPr>
              <w:pStyle w:val="a7"/>
              <w:spacing w:before="100"/>
              <w:ind w:firstLine="0"/>
              <w:jc w:val="center"/>
            </w:pPr>
            <w:r>
              <w:t>I степень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E914" w14:textId="7253A584" w:rsidR="00F74E6A" w:rsidRDefault="009C61D8">
            <w:pPr>
              <w:pStyle w:val="a7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</w:p>
        </w:tc>
      </w:tr>
    </w:tbl>
    <w:p w14:paraId="5AAA9E31" w14:textId="77777777" w:rsidR="00F74E6A" w:rsidRDefault="00F74E6A">
      <w:pPr>
        <w:spacing w:after="259" w:line="1" w:lineRule="exact"/>
      </w:pPr>
    </w:p>
    <w:p w14:paraId="5E83B4B6" w14:textId="288F0213" w:rsidR="00F74E6A" w:rsidRDefault="00000000">
      <w:pPr>
        <w:pStyle w:val="1"/>
        <w:ind w:firstLine="600"/>
        <w:jc w:val="both"/>
      </w:pPr>
      <w:r>
        <w:t>Оценка качества финансового менеджмента ГРБС составила 9</w:t>
      </w:r>
      <w:r w:rsidR="009C61D8">
        <w:t>0</w:t>
      </w:r>
      <w:r>
        <w:t xml:space="preserve"> балл</w:t>
      </w:r>
      <w:r w:rsidR="009C61D8">
        <w:t>ов</w:t>
      </w:r>
      <w:r>
        <w:t>.</w:t>
      </w:r>
    </w:p>
    <w:p w14:paraId="7DB88E11" w14:textId="4A1F8AE4" w:rsidR="00F74E6A" w:rsidRDefault="00000000">
      <w:pPr>
        <w:pStyle w:val="1"/>
        <w:ind w:firstLine="600"/>
        <w:jc w:val="both"/>
      </w:pPr>
      <w:r>
        <w:t xml:space="preserve">Вывод: главные распорядители бюджетных средств являются единственными ГРБС бюджета </w:t>
      </w:r>
      <w:r w:rsidR="009C61D8">
        <w:t>Копорское</w:t>
      </w:r>
      <w:r>
        <w:t xml:space="preserve"> сельское поселение Ломоносовского района Ленинградской области и имеет </w:t>
      </w:r>
      <w:r>
        <w:rPr>
          <w:lang w:val="en-US" w:eastAsia="en-US" w:bidi="en-US"/>
        </w:rPr>
        <w:t>II</w:t>
      </w:r>
      <w:r w:rsidRPr="00747331">
        <w:rPr>
          <w:lang w:eastAsia="en-US" w:bidi="en-US"/>
        </w:rPr>
        <w:t xml:space="preserve"> </w:t>
      </w:r>
      <w:r>
        <w:t>уровень качества финансового менеджмента.</w:t>
      </w:r>
    </w:p>
    <w:sectPr w:rsidR="00F74E6A">
      <w:pgSz w:w="11900" w:h="16840"/>
      <w:pgMar w:top="428" w:right="670" w:bottom="694" w:left="914" w:header="0" w:footer="2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12CB0" w14:textId="77777777" w:rsidR="00D6202C" w:rsidRDefault="00D6202C">
      <w:r>
        <w:separator/>
      </w:r>
    </w:p>
  </w:endnote>
  <w:endnote w:type="continuationSeparator" w:id="0">
    <w:p w14:paraId="59EA37E7" w14:textId="77777777" w:rsidR="00D6202C" w:rsidRDefault="00D6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64C6" w14:textId="77777777" w:rsidR="00D6202C" w:rsidRDefault="00D6202C"/>
  </w:footnote>
  <w:footnote w:type="continuationSeparator" w:id="0">
    <w:p w14:paraId="6498BF8C" w14:textId="77777777" w:rsidR="00D6202C" w:rsidRDefault="00D620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6A"/>
    <w:rsid w:val="00747331"/>
    <w:rsid w:val="007E2C3D"/>
    <w:rsid w:val="009C61D8"/>
    <w:rsid w:val="00D6202C"/>
    <w:rsid w:val="00F74E6A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A46E"/>
  <w15:docId w15:val="{0B139F83-D046-4D0E-AB95-30EB7869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ind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cp:lastModifiedBy>Пользователь</cp:lastModifiedBy>
  <cp:revision>2</cp:revision>
  <dcterms:created xsi:type="dcterms:W3CDTF">2025-03-04T11:10:00Z</dcterms:created>
  <dcterms:modified xsi:type="dcterms:W3CDTF">2025-03-04T11:32:00Z</dcterms:modified>
</cp:coreProperties>
</file>